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1ADB" w14:textId="26B5FAEB" w:rsidR="0081555A" w:rsidRPr="004C38F9" w:rsidRDefault="001D5D96" w:rsidP="0081555A">
      <w:pPr>
        <w:pStyle w:val="Title"/>
        <w:jc w:val="center"/>
        <w:rPr>
          <w:sz w:val="36"/>
          <w:szCs w:val="36"/>
        </w:rPr>
      </w:pPr>
      <w:r w:rsidRPr="004C38F9">
        <w:rPr>
          <w:sz w:val="36"/>
          <w:szCs w:val="36"/>
        </w:rPr>
        <w:t>Bath and North East Somerset</w:t>
      </w:r>
      <w:r w:rsidR="002660EE" w:rsidRPr="004C38F9">
        <w:rPr>
          <w:sz w:val="36"/>
          <w:szCs w:val="36"/>
        </w:rPr>
        <w:t xml:space="preserve"> Council</w:t>
      </w:r>
      <w:r w:rsidR="00C47C6F" w:rsidRPr="004C38F9">
        <w:rPr>
          <w:sz w:val="36"/>
          <w:szCs w:val="36"/>
        </w:rPr>
        <w:t xml:space="preserve"> – </w:t>
      </w:r>
      <w:r w:rsidR="00C47C6F" w:rsidRPr="004C38F9">
        <w:rPr>
          <w:sz w:val="36"/>
          <w:szCs w:val="36"/>
        </w:rPr>
        <w:br/>
        <w:t>Newbridge Open Space</w:t>
      </w:r>
    </w:p>
    <w:p w14:paraId="7D5392E8" w14:textId="43CF4482" w:rsidR="0081555A" w:rsidRPr="004C38F9" w:rsidRDefault="0081555A" w:rsidP="0081555A">
      <w:pPr>
        <w:pStyle w:val="Title"/>
        <w:jc w:val="center"/>
        <w:rPr>
          <w:sz w:val="24"/>
          <w:szCs w:val="24"/>
        </w:rPr>
      </w:pPr>
      <w:r w:rsidRPr="004C38F9">
        <w:rPr>
          <w:sz w:val="24"/>
          <w:szCs w:val="24"/>
        </w:rPr>
        <w:t xml:space="preserve">Baseline </w:t>
      </w:r>
      <w:r w:rsidR="009438E5" w:rsidRPr="004C38F9">
        <w:rPr>
          <w:sz w:val="24"/>
          <w:szCs w:val="24"/>
        </w:rPr>
        <w:t>E</w:t>
      </w:r>
      <w:r w:rsidRPr="004C38F9">
        <w:rPr>
          <w:sz w:val="24"/>
          <w:szCs w:val="24"/>
        </w:rPr>
        <w:t xml:space="preserve">cology </w:t>
      </w:r>
      <w:r w:rsidR="009438E5" w:rsidRPr="004C38F9">
        <w:rPr>
          <w:sz w:val="24"/>
          <w:szCs w:val="24"/>
        </w:rPr>
        <w:t>R</w:t>
      </w:r>
      <w:r w:rsidRPr="004C38F9">
        <w:rPr>
          <w:sz w:val="24"/>
          <w:szCs w:val="24"/>
        </w:rPr>
        <w:t xml:space="preserve">eport </w:t>
      </w:r>
      <w:r w:rsidR="009438E5" w:rsidRPr="004C38F9">
        <w:rPr>
          <w:sz w:val="24"/>
          <w:szCs w:val="24"/>
        </w:rPr>
        <w:t>S</w:t>
      </w:r>
      <w:r w:rsidRPr="004C38F9">
        <w:rPr>
          <w:sz w:val="24"/>
          <w:szCs w:val="24"/>
        </w:rPr>
        <w:t>ummary</w:t>
      </w:r>
    </w:p>
    <w:p w14:paraId="79FCDDA6" w14:textId="4A4612FF" w:rsidR="0081555A" w:rsidRPr="00C332C0" w:rsidRDefault="0081555A" w:rsidP="0081555A">
      <w:pPr>
        <w:pStyle w:val="Title"/>
        <w:rPr>
          <w:sz w:val="22"/>
          <w:szCs w:val="22"/>
        </w:rPr>
      </w:pPr>
      <w:r>
        <w:t xml:space="preserve"> </w:t>
      </w:r>
    </w:p>
    <w:p w14:paraId="0D9B89CC" w14:textId="212A7745" w:rsidR="0081555A" w:rsidRDefault="0081555A" w:rsidP="007B03CD">
      <w:pPr>
        <w:ind w:left="-426"/>
      </w:pPr>
      <w:r>
        <w:t>The ecology surveys</w:t>
      </w:r>
      <w:r w:rsidR="00682456">
        <w:t>, undertaken in July 2023,</w:t>
      </w:r>
      <w:r>
        <w:t xml:space="preserve"> consisted of a habitat survey and an invertebrate survey to identify the current </w:t>
      </w:r>
      <w:r w:rsidR="00890EA5">
        <w:t xml:space="preserve">habitats and </w:t>
      </w:r>
      <w:r>
        <w:t xml:space="preserve">species present, with a particular emphasis on pollinator </w:t>
      </w:r>
      <w:r w:rsidR="00890EA5">
        <w:t xml:space="preserve">invertebrate </w:t>
      </w:r>
      <w:r>
        <w:t>species.</w:t>
      </w:r>
    </w:p>
    <w:p w14:paraId="60AE8916" w14:textId="132DB0E0" w:rsidR="0081555A" w:rsidRDefault="0081555A" w:rsidP="007B03CD">
      <w:pPr>
        <w:ind w:left="-426"/>
      </w:pPr>
      <w:r>
        <w:t>The habitats identified within the project site include</w:t>
      </w:r>
      <w:r w:rsidR="00890EA5">
        <w:t>d</w:t>
      </w:r>
      <w:r>
        <w:t>:</w:t>
      </w:r>
    </w:p>
    <w:p w14:paraId="36E49FEF" w14:textId="6CFBCF82" w:rsidR="0081555A" w:rsidRDefault="00AA11E6" w:rsidP="004C38F9">
      <w:pPr>
        <w:pStyle w:val="ListParagraph"/>
        <w:numPr>
          <w:ilvl w:val="0"/>
          <w:numId w:val="1"/>
        </w:numPr>
        <w:ind w:left="142"/>
      </w:pPr>
      <w:r>
        <w:t>Modified grassland</w:t>
      </w:r>
      <w:r w:rsidR="0081555A">
        <w:t xml:space="preserve"> (</w:t>
      </w:r>
      <w:r w:rsidR="009438E5">
        <w:t>i.e.,</w:t>
      </w:r>
      <w:r w:rsidR="0081555A">
        <w:t xml:space="preserve"> a commonplace grassland)</w:t>
      </w:r>
    </w:p>
    <w:p w14:paraId="1F90F009" w14:textId="385358C8" w:rsidR="00875C3B" w:rsidRDefault="0051201C" w:rsidP="004C38F9">
      <w:pPr>
        <w:pStyle w:val="ListParagraph"/>
        <w:numPr>
          <w:ilvl w:val="0"/>
          <w:numId w:val="1"/>
        </w:numPr>
        <w:ind w:left="142"/>
      </w:pPr>
      <w:r>
        <w:t xml:space="preserve">Other neutral grassland (i.e., </w:t>
      </w:r>
      <w:r w:rsidR="0057043E">
        <w:t>a commonplace grassland)</w:t>
      </w:r>
    </w:p>
    <w:p w14:paraId="37A4F50C" w14:textId="5EF44A41" w:rsidR="0051201C" w:rsidRDefault="0051201C" w:rsidP="004C38F9">
      <w:pPr>
        <w:pStyle w:val="ListParagraph"/>
        <w:numPr>
          <w:ilvl w:val="0"/>
          <w:numId w:val="1"/>
        </w:numPr>
        <w:ind w:left="142"/>
      </w:pPr>
      <w:r>
        <w:t>Other woodland</w:t>
      </w:r>
      <w:r w:rsidR="002C3F6D">
        <w:t>, broadleaved (</w:t>
      </w:r>
      <w:r w:rsidR="007643A6">
        <w:t>i.e.</w:t>
      </w:r>
      <w:r w:rsidR="008F2134">
        <w:t>,</w:t>
      </w:r>
      <w:r w:rsidR="007643A6">
        <w:t xml:space="preserve"> </w:t>
      </w:r>
      <w:r w:rsidR="00110262">
        <w:t>mainly broadleaved species</w:t>
      </w:r>
      <w:r w:rsidR="008F2134">
        <w:t>)</w:t>
      </w:r>
    </w:p>
    <w:p w14:paraId="20BAABB3" w14:textId="089A3E9E" w:rsidR="0051201C" w:rsidRDefault="0051201C" w:rsidP="004C38F9">
      <w:pPr>
        <w:pStyle w:val="ListParagraph"/>
        <w:numPr>
          <w:ilvl w:val="0"/>
          <w:numId w:val="1"/>
        </w:numPr>
        <w:ind w:left="142"/>
      </w:pPr>
      <w:r>
        <w:t>Line of trees</w:t>
      </w:r>
    </w:p>
    <w:p w14:paraId="035A8420" w14:textId="7F8800BB" w:rsidR="0081555A" w:rsidRDefault="00335DB0" w:rsidP="004C38F9">
      <w:pPr>
        <w:pStyle w:val="ListParagraph"/>
        <w:numPr>
          <w:ilvl w:val="0"/>
          <w:numId w:val="1"/>
        </w:numPr>
        <w:ind w:left="142"/>
      </w:pPr>
      <w:r>
        <w:t xml:space="preserve">Priority </w:t>
      </w:r>
      <w:r w:rsidR="0081555A">
        <w:t>hedgerow</w:t>
      </w:r>
      <w:r w:rsidR="00F56E76">
        <w:t>s</w:t>
      </w:r>
      <w:r w:rsidR="0081555A">
        <w:t xml:space="preserve"> (i.e.</w:t>
      </w:r>
      <w:r w:rsidR="009438E5">
        <w:t>,</w:t>
      </w:r>
      <w:r w:rsidR="0081555A">
        <w:t xml:space="preserve"> a </w:t>
      </w:r>
      <w:r w:rsidR="006F087F">
        <w:t xml:space="preserve">hedgerow that qualifies as a priority habitat under the </w:t>
      </w:r>
      <w:hyperlink r:id="rId7" w:history="1">
        <w:r w:rsidR="006F087F" w:rsidRPr="006F087F">
          <w:rPr>
            <w:rStyle w:val="Hyperlink"/>
          </w:rPr>
          <w:t>UK Biodiversity Action Plan</w:t>
        </w:r>
        <w:r w:rsidR="0081555A" w:rsidRPr="006F087F">
          <w:rPr>
            <w:rStyle w:val="Hyperlink"/>
          </w:rPr>
          <w:t>)</w:t>
        </w:r>
      </w:hyperlink>
    </w:p>
    <w:p w14:paraId="6EDCCB24" w14:textId="36F01842" w:rsidR="0081555A" w:rsidRDefault="00F56E76" w:rsidP="004C38F9">
      <w:pPr>
        <w:pStyle w:val="ListParagraph"/>
        <w:numPr>
          <w:ilvl w:val="0"/>
          <w:numId w:val="1"/>
        </w:numPr>
        <w:ind w:left="142"/>
      </w:pPr>
      <w:r>
        <w:t>Standing water (pond)</w:t>
      </w:r>
    </w:p>
    <w:p w14:paraId="3E6E649A" w14:textId="6F33ADF6" w:rsidR="009438E5" w:rsidRDefault="009438E5" w:rsidP="007B03CD">
      <w:pPr>
        <w:ind w:left="-426"/>
      </w:pPr>
      <w:r>
        <w:t>Invertebrate survey results:</w:t>
      </w:r>
    </w:p>
    <w:p w14:paraId="45871DD6" w14:textId="37FA4568" w:rsidR="009438E5" w:rsidRDefault="00E34C48" w:rsidP="004C38F9">
      <w:pPr>
        <w:pStyle w:val="ListParagraph"/>
        <w:numPr>
          <w:ilvl w:val="0"/>
          <w:numId w:val="2"/>
        </w:numPr>
        <w:ind w:left="142"/>
      </w:pPr>
      <w:r>
        <w:t xml:space="preserve">Overall, the site </w:t>
      </w:r>
      <w:proofErr w:type="gramStart"/>
      <w:r>
        <w:t xml:space="preserve">was considered to </w:t>
      </w:r>
      <w:r w:rsidR="00E2353B">
        <w:t>be</w:t>
      </w:r>
      <w:proofErr w:type="gramEnd"/>
      <w:r w:rsidR="00E2353B">
        <w:t xml:space="preserve"> interesting for invertebrates due to the range of habitat features, despite the small size. </w:t>
      </w:r>
      <w:r w:rsidR="004D131B">
        <w:t xml:space="preserve">Such habitat features included flower-rich grassland, wood-chip </w:t>
      </w:r>
      <w:proofErr w:type="gramStart"/>
      <w:r w:rsidR="004D131B">
        <w:t>piles</w:t>
      </w:r>
      <w:proofErr w:type="gramEnd"/>
      <w:r w:rsidR="004D131B">
        <w:t xml:space="preserve"> and old trees with well-developed dead wood habitat features</w:t>
      </w:r>
      <w:r w:rsidR="008D303D">
        <w:t xml:space="preserve"> (with</w:t>
      </w:r>
      <w:r w:rsidR="00E63AFB">
        <w:t xml:space="preserve"> </w:t>
      </w:r>
      <w:r w:rsidR="00E63AFB" w:rsidRPr="00E63AFB">
        <w:t xml:space="preserve">The Dryad’s Saddle bracket fungus and the Chicken-of-the-woods bracket </w:t>
      </w:r>
      <w:r w:rsidR="00E63AFB">
        <w:t>fungus</w:t>
      </w:r>
      <w:r w:rsidR="004C38F9">
        <w:t>)</w:t>
      </w:r>
      <w:r w:rsidR="004D131B">
        <w:t>.</w:t>
      </w:r>
    </w:p>
    <w:p w14:paraId="35D73F69" w14:textId="49C76691" w:rsidR="004D131B" w:rsidRDefault="004D131B" w:rsidP="004C38F9">
      <w:pPr>
        <w:pStyle w:val="ListParagraph"/>
        <w:numPr>
          <w:ilvl w:val="0"/>
          <w:numId w:val="2"/>
        </w:numPr>
        <w:ind w:left="142"/>
      </w:pPr>
      <w:r>
        <w:t xml:space="preserve">Nationally Scarce rove beetle </w:t>
      </w:r>
      <w:r>
        <w:rPr>
          <w:i/>
          <w:iCs/>
        </w:rPr>
        <w:t xml:space="preserve">Medon </w:t>
      </w:r>
      <w:proofErr w:type="spellStart"/>
      <w:r>
        <w:rPr>
          <w:i/>
          <w:iCs/>
        </w:rPr>
        <w:t>apicalis</w:t>
      </w:r>
      <w:proofErr w:type="spellEnd"/>
      <w:r>
        <w:t xml:space="preserve"> was identified in </w:t>
      </w:r>
      <w:r w:rsidR="00685495">
        <w:t xml:space="preserve">the wood chip piles, with a local dead wood specialised beetle </w:t>
      </w:r>
      <w:proofErr w:type="spellStart"/>
      <w:r w:rsidR="00685495">
        <w:rPr>
          <w:i/>
          <w:iCs/>
        </w:rPr>
        <w:t>Bitoma</w:t>
      </w:r>
      <w:proofErr w:type="spellEnd"/>
      <w:r w:rsidR="00685495">
        <w:rPr>
          <w:i/>
          <w:iCs/>
        </w:rPr>
        <w:t xml:space="preserve"> crenata</w:t>
      </w:r>
      <w:r w:rsidR="00685495">
        <w:t xml:space="preserve"> found in the dead wood.</w:t>
      </w:r>
    </w:p>
    <w:p w14:paraId="6D24FCE2" w14:textId="30AE0FEF" w:rsidR="009438E5" w:rsidRDefault="009438E5" w:rsidP="004C38F9">
      <w:pPr>
        <w:pStyle w:val="ListParagraph"/>
        <w:numPr>
          <w:ilvl w:val="0"/>
          <w:numId w:val="2"/>
        </w:numPr>
        <w:ind w:left="142"/>
      </w:pPr>
      <w:r>
        <w:t>Pollinator species recorded included</w:t>
      </w:r>
      <w:r w:rsidR="001A457C">
        <w:t xml:space="preserve">: </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4"/>
        <w:gridCol w:w="3260"/>
      </w:tblGrid>
      <w:tr w:rsidR="00882B1A" w:rsidRPr="00FF2574" w14:paraId="6799B05F" w14:textId="77777777" w:rsidTr="008D303D">
        <w:tc>
          <w:tcPr>
            <w:tcW w:w="3261" w:type="dxa"/>
            <w:shd w:val="clear" w:color="auto" w:fill="auto"/>
          </w:tcPr>
          <w:p w14:paraId="217999E8" w14:textId="6F955AE5" w:rsidR="00882B1A" w:rsidRPr="00550010" w:rsidRDefault="00957273" w:rsidP="00882B1A">
            <w:pPr>
              <w:pStyle w:val="ListParagraph"/>
              <w:numPr>
                <w:ilvl w:val="0"/>
                <w:numId w:val="3"/>
              </w:numPr>
              <w:ind w:left="122" w:hanging="218"/>
            </w:pPr>
            <w:r w:rsidRPr="00550010">
              <w:t>Common blue butterfly</w:t>
            </w:r>
          </w:p>
        </w:tc>
        <w:tc>
          <w:tcPr>
            <w:tcW w:w="3544" w:type="dxa"/>
            <w:shd w:val="clear" w:color="auto" w:fill="auto"/>
          </w:tcPr>
          <w:p w14:paraId="51121DC4" w14:textId="7B1778EE" w:rsidR="00882B1A" w:rsidRPr="00550010" w:rsidRDefault="00196F65" w:rsidP="00882B1A">
            <w:pPr>
              <w:pStyle w:val="ListParagraph"/>
              <w:numPr>
                <w:ilvl w:val="0"/>
                <w:numId w:val="3"/>
              </w:numPr>
              <w:ind w:left="122" w:hanging="218"/>
            </w:pPr>
            <w:r w:rsidRPr="00550010">
              <w:t>Red Admiral butterfly</w:t>
            </w:r>
          </w:p>
        </w:tc>
        <w:tc>
          <w:tcPr>
            <w:tcW w:w="3260" w:type="dxa"/>
            <w:shd w:val="clear" w:color="auto" w:fill="auto"/>
          </w:tcPr>
          <w:p w14:paraId="3F0CC2CB" w14:textId="39AF3876" w:rsidR="00882B1A" w:rsidRPr="00550010" w:rsidRDefault="00550010" w:rsidP="00882B1A">
            <w:pPr>
              <w:pStyle w:val="ListParagraph"/>
              <w:numPr>
                <w:ilvl w:val="0"/>
                <w:numId w:val="3"/>
              </w:numPr>
              <w:ind w:left="122" w:hanging="218"/>
            </w:pPr>
            <w:r w:rsidRPr="00550010">
              <w:t>Red-tailed bumblebee</w:t>
            </w:r>
          </w:p>
        </w:tc>
      </w:tr>
      <w:tr w:rsidR="00882B1A" w14:paraId="08BC19C7" w14:textId="77777777" w:rsidTr="008D303D">
        <w:tc>
          <w:tcPr>
            <w:tcW w:w="3261" w:type="dxa"/>
            <w:shd w:val="clear" w:color="auto" w:fill="auto"/>
          </w:tcPr>
          <w:p w14:paraId="3F01286E" w14:textId="77777777" w:rsidR="00882B1A" w:rsidRPr="00550010" w:rsidRDefault="00882B1A" w:rsidP="00882B1A">
            <w:pPr>
              <w:pStyle w:val="ListParagraph"/>
              <w:numPr>
                <w:ilvl w:val="0"/>
                <w:numId w:val="3"/>
              </w:numPr>
              <w:ind w:left="122" w:hanging="218"/>
            </w:pPr>
            <w:r w:rsidRPr="00550010">
              <w:t>Meadow brown butterfly</w:t>
            </w:r>
          </w:p>
        </w:tc>
        <w:tc>
          <w:tcPr>
            <w:tcW w:w="3544" w:type="dxa"/>
            <w:shd w:val="clear" w:color="auto" w:fill="auto"/>
          </w:tcPr>
          <w:p w14:paraId="2A78E4B2" w14:textId="2BC74670" w:rsidR="00882B1A" w:rsidRPr="00550010" w:rsidRDefault="00196F65" w:rsidP="00882B1A">
            <w:pPr>
              <w:pStyle w:val="ListParagraph"/>
              <w:numPr>
                <w:ilvl w:val="0"/>
                <w:numId w:val="3"/>
              </w:numPr>
              <w:ind w:left="122" w:hanging="218"/>
            </w:pPr>
            <w:r w:rsidRPr="00550010">
              <w:t>Comma butterfly</w:t>
            </w:r>
          </w:p>
        </w:tc>
        <w:tc>
          <w:tcPr>
            <w:tcW w:w="3260" w:type="dxa"/>
            <w:shd w:val="clear" w:color="auto" w:fill="auto"/>
          </w:tcPr>
          <w:p w14:paraId="7AEA473E" w14:textId="336685CF" w:rsidR="00882B1A" w:rsidRPr="00550010" w:rsidRDefault="00550010" w:rsidP="00550010">
            <w:pPr>
              <w:pStyle w:val="ListParagraph"/>
              <w:numPr>
                <w:ilvl w:val="0"/>
                <w:numId w:val="3"/>
              </w:numPr>
              <w:ind w:left="122" w:hanging="218"/>
            </w:pPr>
            <w:proofErr w:type="spellStart"/>
            <w:r w:rsidRPr="00550010">
              <w:t>Willughby’s</w:t>
            </w:r>
            <w:proofErr w:type="spellEnd"/>
            <w:r w:rsidRPr="00550010">
              <w:t xml:space="preserve"> Leafcutter bee</w:t>
            </w:r>
          </w:p>
        </w:tc>
      </w:tr>
      <w:tr w:rsidR="00882B1A" w14:paraId="5C199FAD" w14:textId="77777777" w:rsidTr="008D303D">
        <w:tc>
          <w:tcPr>
            <w:tcW w:w="3261" w:type="dxa"/>
            <w:shd w:val="clear" w:color="auto" w:fill="auto"/>
          </w:tcPr>
          <w:p w14:paraId="33358B56" w14:textId="2EDBA00E" w:rsidR="00882B1A" w:rsidRPr="00550010" w:rsidRDefault="00957273" w:rsidP="00882B1A">
            <w:pPr>
              <w:pStyle w:val="ListParagraph"/>
              <w:numPr>
                <w:ilvl w:val="0"/>
                <w:numId w:val="3"/>
              </w:numPr>
              <w:ind w:left="122" w:hanging="218"/>
            </w:pPr>
            <w:r w:rsidRPr="00550010">
              <w:t>Large white butterfly</w:t>
            </w:r>
          </w:p>
        </w:tc>
        <w:tc>
          <w:tcPr>
            <w:tcW w:w="3544" w:type="dxa"/>
            <w:shd w:val="clear" w:color="auto" w:fill="auto"/>
          </w:tcPr>
          <w:p w14:paraId="282F23E2" w14:textId="0ABAAD44" w:rsidR="00882B1A" w:rsidRPr="00550010" w:rsidRDefault="00196F65" w:rsidP="00882B1A">
            <w:pPr>
              <w:pStyle w:val="ListParagraph"/>
              <w:numPr>
                <w:ilvl w:val="0"/>
                <w:numId w:val="3"/>
              </w:numPr>
              <w:ind w:left="122" w:hanging="218"/>
            </w:pPr>
            <w:r w:rsidRPr="00550010">
              <w:t>Brown Angus butterfly</w:t>
            </w:r>
          </w:p>
        </w:tc>
        <w:tc>
          <w:tcPr>
            <w:tcW w:w="3260" w:type="dxa"/>
            <w:shd w:val="clear" w:color="auto" w:fill="auto"/>
          </w:tcPr>
          <w:p w14:paraId="33804D13" w14:textId="6F1B2375" w:rsidR="00882B1A" w:rsidRPr="00550010" w:rsidRDefault="00550010" w:rsidP="00550010">
            <w:pPr>
              <w:pStyle w:val="ListParagraph"/>
              <w:numPr>
                <w:ilvl w:val="0"/>
                <w:numId w:val="3"/>
              </w:numPr>
              <w:ind w:left="122" w:hanging="218"/>
            </w:pPr>
            <w:r w:rsidRPr="00550010">
              <w:t>Common Furrow bee</w:t>
            </w:r>
          </w:p>
        </w:tc>
      </w:tr>
      <w:tr w:rsidR="00882B1A" w14:paraId="20FB8469" w14:textId="77777777" w:rsidTr="008D303D">
        <w:tc>
          <w:tcPr>
            <w:tcW w:w="3261" w:type="dxa"/>
            <w:shd w:val="clear" w:color="auto" w:fill="auto"/>
          </w:tcPr>
          <w:p w14:paraId="5E0F9E84" w14:textId="3CD6855E" w:rsidR="00882B1A" w:rsidRPr="00550010" w:rsidRDefault="00957273" w:rsidP="00882B1A">
            <w:pPr>
              <w:pStyle w:val="ListParagraph"/>
              <w:numPr>
                <w:ilvl w:val="0"/>
                <w:numId w:val="3"/>
              </w:numPr>
              <w:ind w:left="122" w:hanging="218"/>
            </w:pPr>
            <w:r w:rsidRPr="00550010">
              <w:t>Small white butterfly</w:t>
            </w:r>
          </w:p>
        </w:tc>
        <w:tc>
          <w:tcPr>
            <w:tcW w:w="3544" w:type="dxa"/>
            <w:shd w:val="clear" w:color="auto" w:fill="auto"/>
          </w:tcPr>
          <w:p w14:paraId="184112A9" w14:textId="0AFA1DDB" w:rsidR="00882B1A" w:rsidRPr="00550010" w:rsidRDefault="00550010" w:rsidP="00882B1A">
            <w:pPr>
              <w:pStyle w:val="ListParagraph"/>
              <w:numPr>
                <w:ilvl w:val="0"/>
                <w:numId w:val="3"/>
              </w:numPr>
              <w:ind w:left="122" w:hanging="218"/>
            </w:pPr>
            <w:r w:rsidRPr="00550010">
              <w:t>Buff-tailed/ white-tailed bumblebee</w:t>
            </w:r>
          </w:p>
        </w:tc>
        <w:tc>
          <w:tcPr>
            <w:tcW w:w="3260" w:type="dxa"/>
            <w:shd w:val="clear" w:color="auto" w:fill="auto"/>
          </w:tcPr>
          <w:p w14:paraId="137595AB" w14:textId="631DEE9A" w:rsidR="007F2AE9" w:rsidRPr="00550010" w:rsidRDefault="00550010" w:rsidP="00550010">
            <w:pPr>
              <w:pStyle w:val="ListParagraph"/>
              <w:numPr>
                <w:ilvl w:val="0"/>
                <w:numId w:val="3"/>
              </w:numPr>
              <w:ind w:left="122" w:hanging="218"/>
            </w:pPr>
            <w:r w:rsidRPr="00550010">
              <w:t>Hoverfly</w:t>
            </w:r>
          </w:p>
        </w:tc>
      </w:tr>
      <w:tr w:rsidR="00550010" w14:paraId="67B99177" w14:textId="77777777" w:rsidTr="008D303D">
        <w:trPr>
          <w:trHeight w:val="85"/>
        </w:trPr>
        <w:tc>
          <w:tcPr>
            <w:tcW w:w="3261" w:type="dxa"/>
            <w:shd w:val="clear" w:color="auto" w:fill="auto"/>
          </w:tcPr>
          <w:p w14:paraId="6C1367F7" w14:textId="6EE273D9" w:rsidR="00550010" w:rsidRPr="00550010" w:rsidRDefault="00550010" w:rsidP="00550010">
            <w:pPr>
              <w:pStyle w:val="ListParagraph"/>
              <w:numPr>
                <w:ilvl w:val="0"/>
                <w:numId w:val="3"/>
              </w:numPr>
              <w:ind w:left="122" w:hanging="218"/>
            </w:pPr>
            <w:r w:rsidRPr="00550010">
              <w:t>Speckled wood butterfly</w:t>
            </w:r>
          </w:p>
        </w:tc>
        <w:tc>
          <w:tcPr>
            <w:tcW w:w="3544" w:type="dxa"/>
            <w:shd w:val="clear" w:color="auto" w:fill="auto"/>
          </w:tcPr>
          <w:p w14:paraId="3F8854EF" w14:textId="40F75620" w:rsidR="00550010" w:rsidRPr="00550010" w:rsidRDefault="00550010" w:rsidP="00550010">
            <w:pPr>
              <w:pStyle w:val="ListParagraph"/>
              <w:numPr>
                <w:ilvl w:val="0"/>
                <w:numId w:val="3"/>
              </w:numPr>
              <w:ind w:left="122" w:hanging="218"/>
            </w:pPr>
            <w:r w:rsidRPr="00550010">
              <w:t>Common carder bumblebee</w:t>
            </w:r>
          </w:p>
        </w:tc>
        <w:tc>
          <w:tcPr>
            <w:tcW w:w="3260" w:type="dxa"/>
            <w:shd w:val="clear" w:color="auto" w:fill="auto"/>
          </w:tcPr>
          <w:p w14:paraId="6C2F255F" w14:textId="2FC7B812" w:rsidR="00550010" w:rsidRPr="00550010" w:rsidRDefault="00550010" w:rsidP="00550010">
            <w:pPr>
              <w:pStyle w:val="ListParagraph"/>
              <w:ind w:left="122"/>
            </w:pPr>
          </w:p>
        </w:tc>
      </w:tr>
    </w:tbl>
    <w:p w14:paraId="344C3306" w14:textId="77777777" w:rsidR="00882B1A" w:rsidRPr="00882B1A" w:rsidRDefault="00882B1A" w:rsidP="007B03CD">
      <w:pPr>
        <w:ind w:left="-284"/>
        <w:rPr>
          <w:sz w:val="10"/>
          <w:szCs w:val="10"/>
          <w:u w:val="single"/>
        </w:rPr>
      </w:pPr>
    </w:p>
    <w:p w14:paraId="55634D0E" w14:textId="625364BB" w:rsidR="00C332C0" w:rsidRPr="00C332C0" w:rsidRDefault="00C332C0" w:rsidP="007B03CD">
      <w:pPr>
        <w:ind w:left="-426"/>
        <w:rPr>
          <w:u w:val="single"/>
        </w:rPr>
      </w:pPr>
      <w:r w:rsidRPr="00C332C0">
        <w:rPr>
          <w:u w:val="single"/>
        </w:rPr>
        <w:t>Recommendations</w:t>
      </w:r>
    </w:p>
    <w:p w14:paraId="5D8FF836" w14:textId="55977481" w:rsidR="00C332C0" w:rsidRPr="00C332C0" w:rsidRDefault="00C332C0" w:rsidP="007B03CD">
      <w:pPr>
        <w:keepNext/>
        <w:keepLines/>
        <w:spacing w:before="240" w:after="240" w:line="276" w:lineRule="auto"/>
        <w:ind w:left="-426" w:right="572"/>
        <w:jc w:val="both"/>
        <w:outlineLvl w:val="1"/>
        <w:rPr>
          <w:rFonts w:cstheme="minorHAnsi"/>
        </w:rPr>
      </w:pPr>
      <w:r w:rsidRPr="00C332C0">
        <w:rPr>
          <w:rFonts w:cstheme="minorHAnsi"/>
        </w:rPr>
        <w:t xml:space="preserve">Some outline recommendations </w:t>
      </w:r>
      <w:r>
        <w:rPr>
          <w:rFonts w:cstheme="minorHAnsi"/>
        </w:rPr>
        <w:t xml:space="preserve">for the </w:t>
      </w:r>
      <w:r w:rsidR="002365BA">
        <w:rPr>
          <w:rFonts w:cstheme="minorHAnsi"/>
        </w:rPr>
        <w:t xml:space="preserve">Newbridge Open Space </w:t>
      </w:r>
      <w:r>
        <w:rPr>
          <w:rFonts w:cstheme="minorHAnsi"/>
        </w:rPr>
        <w:t xml:space="preserve">project site </w:t>
      </w:r>
      <w:r w:rsidRPr="00C332C0">
        <w:rPr>
          <w:rFonts w:cstheme="minorHAnsi"/>
        </w:rPr>
        <w:t xml:space="preserve">are provided below, these should be considered in line with existing management plans to ensure their success. </w:t>
      </w:r>
    </w:p>
    <w:p w14:paraId="399097A7" w14:textId="77777777" w:rsidR="00CF5037" w:rsidRPr="00CF5037" w:rsidRDefault="00CF5037" w:rsidP="004C38F9">
      <w:pPr>
        <w:pStyle w:val="BulletList"/>
        <w:numPr>
          <w:ilvl w:val="3"/>
          <w:numId w:val="6"/>
        </w:numPr>
        <w:ind w:left="284" w:right="461"/>
        <w:rPr>
          <w:rFonts w:asciiTheme="minorHAnsi" w:hAnsiTheme="minorHAnsi" w:cstheme="minorHAnsi"/>
        </w:rPr>
      </w:pPr>
      <w:r w:rsidRPr="00CF5037">
        <w:rPr>
          <w:rFonts w:asciiTheme="minorHAnsi" w:hAnsiTheme="minorHAnsi" w:cstheme="minorHAnsi"/>
        </w:rPr>
        <w:t>It is recommended that the existing grassland management of the areas of other neutral grassland is continued as it is providing a rather diverse grassland in places. It would be desirable to extend this form of management into some of the modified grassland areas.</w:t>
      </w:r>
    </w:p>
    <w:p w14:paraId="7B16A853" w14:textId="77777777" w:rsidR="00CF5037" w:rsidRPr="00CF5037" w:rsidRDefault="00CF5037" w:rsidP="004C38F9">
      <w:pPr>
        <w:pStyle w:val="BulletList"/>
        <w:numPr>
          <w:ilvl w:val="3"/>
          <w:numId w:val="6"/>
        </w:numPr>
        <w:ind w:left="284" w:right="461"/>
        <w:rPr>
          <w:rFonts w:asciiTheme="minorHAnsi" w:hAnsiTheme="minorHAnsi" w:cstheme="minorHAnsi"/>
        </w:rPr>
      </w:pPr>
      <w:r w:rsidRPr="00CF5037">
        <w:rPr>
          <w:rFonts w:asciiTheme="minorHAnsi" w:hAnsiTheme="minorHAnsi" w:cstheme="minorHAnsi"/>
        </w:rPr>
        <w:t>The creation of a pond within the modified grassland, or between areas of other neutral grassland, would be beneficial to the overall biodiversity within the site.</w:t>
      </w:r>
    </w:p>
    <w:p w14:paraId="0E43AD7D" w14:textId="3C3795C6" w:rsidR="00C332C0" w:rsidRPr="00CF5037" w:rsidRDefault="00CF5037" w:rsidP="004C38F9">
      <w:pPr>
        <w:pStyle w:val="BulletList"/>
        <w:numPr>
          <w:ilvl w:val="3"/>
          <w:numId w:val="6"/>
        </w:numPr>
        <w:ind w:left="284" w:right="461"/>
        <w:rPr>
          <w:rFonts w:asciiTheme="minorHAnsi" w:hAnsiTheme="minorHAnsi" w:cstheme="minorHAnsi"/>
        </w:rPr>
      </w:pPr>
      <w:r w:rsidRPr="00CF5037">
        <w:rPr>
          <w:rFonts w:asciiTheme="minorHAnsi" w:hAnsiTheme="minorHAnsi" w:cstheme="minorHAnsi"/>
        </w:rPr>
        <w:t>The site contains many mature trees that are considered important. It is recommended that these features are afforded protection in any future management within the site, if they require management (for example on health and safety grounds), this should be undertaken sensitively to ensure their long-term health (for example through pollarding). Any deadwood arising from management should be retained within the site as stacked piles, providing additional invertebrate habitat.</w:t>
      </w:r>
    </w:p>
    <w:sectPr w:rsidR="00C332C0" w:rsidRPr="00CF50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F47C" w14:textId="77777777" w:rsidR="00264320" w:rsidRDefault="00264320" w:rsidP="0081555A">
      <w:pPr>
        <w:spacing w:after="0" w:line="240" w:lineRule="auto"/>
      </w:pPr>
      <w:r>
        <w:separator/>
      </w:r>
    </w:p>
  </w:endnote>
  <w:endnote w:type="continuationSeparator" w:id="0">
    <w:p w14:paraId="6D70EBFA" w14:textId="77777777" w:rsidR="00264320" w:rsidRDefault="00264320" w:rsidP="0081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B5C5" w14:textId="77777777" w:rsidR="00264320" w:rsidRDefault="00264320" w:rsidP="0081555A">
      <w:pPr>
        <w:spacing w:after="0" w:line="240" w:lineRule="auto"/>
      </w:pPr>
      <w:r>
        <w:separator/>
      </w:r>
    </w:p>
  </w:footnote>
  <w:footnote w:type="continuationSeparator" w:id="0">
    <w:p w14:paraId="70AF2AD1" w14:textId="77777777" w:rsidR="00264320" w:rsidRDefault="00264320" w:rsidP="00815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79B7" w14:textId="73EDA135" w:rsidR="0081555A" w:rsidRDefault="0081555A">
    <w:pPr>
      <w:pStyle w:val="Header"/>
    </w:pPr>
    <w:r>
      <w:rPr>
        <w:noProof/>
      </w:rPr>
      <w:drawing>
        <wp:anchor distT="0" distB="0" distL="114300" distR="114300" simplePos="0" relativeHeight="251660288" behindDoc="0" locked="0" layoutInCell="1" allowOverlap="1" wp14:anchorId="586B6C27" wp14:editId="4E557ECA">
          <wp:simplePos x="0" y="0"/>
          <wp:positionH relativeFrom="column">
            <wp:posOffset>-95003</wp:posOffset>
          </wp:positionH>
          <wp:positionV relativeFrom="paragraph">
            <wp:posOffset>-200610</wp:posOffset>
          </wp:positionV>
          <wp:extent cx="1116281" cy="496364"/>
          <wp:effectExtent l="0" t="0" r="0" b="0"/>
          <wp:wrapSquare wrapText="bothSides"/>
          <wp:docPr id="1198197551" name="Picture 119819755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502768"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281" cy="4963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07EC780" wp14:editId="0C1FAF08">
          <wp:simplePos x="0" y="0"/>
          <wp:positionH relativeFrom="column">
            <wp:posOffset>4738254</wp:posOffset>
          </wp:positionH>
          <wp:positionV relativeFrom="paragraph">
            <wp:posOffset>-202515</wp:posOffset>
          </wp:positionV>
          <wp:extent cx="1567353" cy="515648"/>
          <wp:effectExtent l="0" t="0" r="0" b="0"/>
          <wp:wrapNone/>
          <wp:docPr id="1249198329" name="Picture 1249198329"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299950" name="Picture 459299950" descr="A logo with text on i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353" cy="5156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8E8"/>
    <w:multiLevelType w:val="hybridMultilevel"/>
    <w:tmpl w:val="74042EF6"/>
    <w:lvl w:ilvl="0" w:tplc="08090003">
      <w:start w:val="1"/>
      <w:numFmt w:val="bullet"/>
      <w:lvlText w:val="o"/>
      <w:lvlJc w:val="left"/>
      <w:pPr>
        <w:ind w:left="1487" w:hanging="360"/>
      </w:pPr>
      <w:rPr>
        <w:rFonts w:ascii="Courier New" w:hAnsi="Courier New" w:cs="Courier New"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1" w15:restartNumberingAfterBreak="0">
    <w:nsid w:val="11E24D9B"/>
    <w:multiLevelType w:val="multilevel"/>
    <w:tmpl w:val="F496CAD8"/>
    <w:numStyleLink w:val="Numbering-Reports"/>
  </w:abstractNum>
  <w:abstractNum w:abstractNumId="2" w15:restartNumberingAfterBreak="0">
    <w:nsid w:val="295B55D5"/>
    <w:multiLevelType w:val="multilevel"/>
    <w:tmpl w:val="528AFFF8"/>
    <w:lvl w:ilvl="0">
      <w:start w:val="1"/>
      <w:numFmt w:val="decimal"/>
      <w:lvlText w:val="%1. "/>
      <w:lvlJc w:val="left"/>
      <w:pPr>
        <w:tabs>
          <w:tab w:val="num" w:pos="1474"/>
        </w:tabs>
        <w:ind w:left="1474" w:hanging="1276"/>
      </w:pPr>
      <w:rPr>
        <w:rFonts w:ascii="Arial" w:eastAsia="Calibri" w:hAnsi="Arial" w:cs="Calibri" w:hint="default"/>
        <w:b/>
        <w:bCs/>
        <w:i w:val="0"/>
        <w:iCs w:val="0"/>
        <w:w w:val="99"/>
        <w:sz w:val="32"/>
        <w:szCs w:val="32"/>
        <w:lang w:val="en-GB" w:eastAsia="en-US" w:bidi="ar-SA"/>
      </w:rPr>
    </w:lvl>
    <w:lvl w:ilvl="1">
      <w:start w:val="1"/>
      <w:numFmt w:val="decimal"/>
      <w:lvlText w:val="%1.%2. "/>
      <w:lvlJc w:val="left"/>
      <w:pPr>
        <w:ind w:left="1474" w:hanging="1276"/>
      </w:pPr>
      <w:rPr>
        <w:rFonts w:ascii="Calibri" w:hAnsi="Calibri" w:hint="default"/>
        <w:w w:val="100"/>
        <w:sz w:val="28"/>
        <w:lang w:val="en-GB" w:eastAsia="en-US" w:bidi="ar-SA"/>
      </w:rPr>
    </w:lvl>
    <w:lvl w:ilvl="2">
      <w:start w:val="1"/>
      <w:numFmt w:val="decimal"/>
      <w:lvlText w:val="%1.%2.%3."/>
      <w:lvlJc w:val="left"/>
      <w:pPr>
        <w:ind w:left="1474" w:hanging="1276"/>
      </w:pPr>
      <w:rPr>
        <w:rFonts w:ascii="Calibri" w:hAnsi="Calibri" w:hint="default"/>
        <w:b w:val="0"/>
        <w:bCs w:val="0"/>
        <w:i w:val="0"/>
        <w:iCs w:val="0"/>
        <w:w w:val="100"/>
        <w:sz w:val="22"/>
        <w:szCs w:val="24"/>
        <w:u w:val="none"/>
        <w:lang w:val="en-GB" w:eastAsia="en-US" w:bidi="ar-SA"/>
      </w:rPr>
    </w:lvl>
    <w:lvl w:ilvl="3">
      <w:start w:val="1"/>
      <w:numFmt w:val="bullet"/>
      <w:lvlText w:val=""/>
      <w:lvlJc w:val="left"/>
      <w:pPr>
        <w:ind w:left="720" w:hanging="360"/>
      </w:pPr>
      <w:rPr>
        <w:rFonts w:ascii="Wingdings" w:hAnsi="Wingdings" w:hint="default"/>
      </w:rPr>
    </w:lvl>
    <w:lvl w:ilvl="4">
      <w:numFmt w:val="bullet"/>
      <w:lvlText w:val="•"/>
      <w:lvlJc w:val="left"/>
      <w:pPr>
        <w:ind w:left="1474" w:hanging="1276"/>
      </w:pPr>
      <w:rPr>
        <w:rFonts w:hint="default"/>
        <w:lang w:val="en-GB" w:eastAsia="en-US" w:bidi="ar-SA"/>
      </w:rPr>
    </w:lvl>
    <w:lvl w:ilvl="5">
      <w:numFmt w:val="bullet"/>
      <w:lvlText w:val="•"/>
      <w:lvlJc w:val="left"/>
      <w:pPr>
        <w:ind w:left="1474" w:hanging="1276"/>
      </w:pPr>
      <w:rPr>
        <w:rFonts w:hint="default"/>
        <w:lang w:val="en-GB" w:eastAsia="en-US" w:bidi="ar-SA"/>
      </w:rPr>
    </w:lvl>
    <w:lvl w:ilvl="6">
      <w:numFmt w:val="bullet"/>
      <w:lvlText w:val="•"/>
      <w:lvlJc w:val="left"/>
      <w:pPr>
        <w:ind w:left="1474" w:hanging="1276"/>
      </w:pPr>
      <w:rPr>
        <w:rFonts w:hint="default"/>
        <w:lang w:val="en-GB" w:eastAsia="en-US" w:bidi="ar-SA"/>
      </w:rPr>
    </w:lvl>
    <w:lvl w:ilvl="7">
      <w:numFmt w:val="bullet"/>
      <w:lvlText w:val="•"/>
      <w:lvlJc w:val="left"/>
      <w:pPr>
        <w:ind w:left="1474" w:hanging="1276"/>
      </w:pPr>
      <w:rPr>
        <w:rFonts w:hint="default"/>
        <w:lang w:val="en-GB" w:eastAsia="en-US" w:bidi="ar-SA"/>
      </w:rPr>
    </w:lvl>
    <w:lvl w:ilvl="8">
      <w:numFmt w:val="bullet"/>
      <w:lvlText w:val="•"/>
      <w:lvlJc w:val="left"/>
      <w:pPr>
        <w:ind w:left="1474" w:hanging="1276"/>
      </w:pPr>
      <w:rPr>
        <w:rFonts w:hint="default"/>
        <w:lang w:val="en-GB" w:eastAsia="en-US" w:bidi="ar-SA"/>
      </w:rPr>
    </w:lvl>
  </w:abstractNum>
  <w:abstractNum w:abstractNumId="3" w15:restartNumberingAfterBreak="0">
    <w:nsid w:val="2BEB1C4B"/>
    <w:multiLevelType w:val="hybridMultilevel"/>
    <w:tmpl w:val="3FA05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80C16"/>
    <w:multiLevelType w:val="multilevel"/>
    <w:tmpl w:val="F496CAD8"/>
    <w:styleLink w:val="Numbering-Reports"/>
    <w:lvl w:ilvl="0">
      <w:start w:val="1"/>
      <w:numFmt w:val="decimal"/>
      <w:pStyle w:val="ListBullet"/>
      <w:lvlText w:val="%1. "/>
      <w:lvlJc w:val="left"/>
      <w:pPr>
        <w:tabs>
          <w:tab w:val="num" w:pos="1474"/>
        </w:tabs>
        <w:ind w:left="1474" w:hanging="1276"/>
      </w:pPr>
      <w:rPr>
        <w:rFonts w:ascii="Arial" w:eastAsia="Calibri" w:hAnsi="Arial" w:cs="Calibri" w:hint="default"/>
        <w:b/>
        <w:bCs/>
        <w:i w:val="0"/>
        <w:iCs w:val="0"/>
        <w:w w:val="99"/>
        <w:sz w:val="32"/>
        <w:szCs w:val="32"/>
        <w:lang w:val="en-GB" w:eastAsia="en-US" w:bidi="ar-SA"/>
      </w:rPr>
    </w:lvl>
    <w:lvl w:ilvl="1">
      <w:start w:val="1"/>
      <w:numFmt w:val="decimal"/>
      <w:lvlText w:val="%1.%2. "/>
      <w:lvlJc w:val="left"/>
      <w:pPr>
        <w:ind w:left="1474" w:hanging="1276"/>
      </w:pPr>
      <w:rPr>
        <w:rFonts w:ascii="Calibri" w:hAnsi="Calibri" w:hint="default"/>
        <w:w w:val="100"/>
        <w:sz w:val="28"/>
        <w:lang w:val="en-GB" w:eastAsia="en-US" w:bidi="ar-SA"/>
      </w:rPr>
    </w:lvl>
    <w:lvl w:ilvl="2">
      <w:start w:val="1"/>
      <w:numFmt w:val="decimal"/>
      <w:lvlText w:val="%1.%2.%3."/>
      <w:lvlJc w:val="left"/>
      <w:pPr>
        <w:ind w:left="1474" w:hanging="1276"/>
      </w:pPr>
      <w:rPr>
        <w:rFonts w:ascii="Calibri" w:hAnsi="Calibri" w:hint="default"/>
        <w:b w:val="0"/>
        <w:bCs w:val="0"/>
        <w:i w:val="0"/>
        <w:iCs w:val="0"/>
        <w:w w:val="100"/>
        <w:sz w:val="22"/>
        <w:szCs w:val="24"/>
        <w:u w:val="none"/>
        <w:lang w:val="en-GB" w:eastAsia="en-US" w:bidi="ar-SA"/>
      </w:rPr>
    </w:lvl>
    <w:lvl w:ilvl="3">
      <w:start w:val="1"/>
      <w:numFmt w:val="bullet"/>
      <w:lvlRestart w:val="0"/>
      <w:lvlText w:val="•"/>
      <w:lvlJc w:val="left"/>
      <w:pPr>
        <w:ind w:left="1985" w:hanging="284"/>
      </w:pPr>
      <w:rPr>
        <w:rFonts w:ascii="Calibri" w:hAnsi="Calibri" w:hint="default"/>
        <w:sz w:val="22"/>
        <w:u w:val="none"/>
        <w:lang w:val="en-GB" w:eastAsia="en-US" w:bidi="ar-SA"/>
      </w:rPr>
    </w:lvl>
    <w:lvl w:ilvl="4">
      <w:numFmt w:val="bullet"/>
      <w:lvlText w:val="•"/>
      <w:lvlJc w:val="left"/>
      <w:pPr>
        <w:ind w:left="1474" w:hanging="1276"/>
      </w:pPr>
      <w:rPr>
        <w:rFonts w:hint="default"/>
        <w:lang w:val="en-GB" w:eastAsia="en-US" w:bidi="ar-SA"/>
      </w:rPr>
    </w:lvl>
    <w:lvl w:ilvl="5">
      <w:numFmt w:val="bullet"/>
      <w:lvlText w:val="•"/>
      <w:lvlJc w:val="left"/>
      <w:pPr>
        <w:ind w:left="1474" w:hanging="1276"/>
      </w:pPr>
      <w:rPr>
        <w:rFonts w:hint="default"/>
        <w:lang w:val="en-GB" w:eastAsia="en-US" w:bidi="ar-SA"/>
      </w:rPr>
    </w:lvl>
    <w:lvl w:ilvl="6">
      <w:numFmt w:val="bullet"/>
      <w:lvlText w:val="•"/>
      <w:lvlJc w:val="left"/>
      <w:pPr>
        <w:ind w:left="1474" w:hanging="1276"/>
      </w:pPr>
      <w:rPr>
        <w:rFonts w:hint="default"/>
        <w:lang w:val="en-GB" w:eastAsia="en-US" w:bidi="ar-SA"/>
      </w:rPr>
    </w:lvl>
    <w:lvl w:ilvl="7">
      <w:numFmt w:val="bullet"/>
      <w:lvlText w:val="•"/>
      <w:lvlJc w:val="left"/>
      <w:pPr>
        <w:ind w:left="1474" w:hanging="1276"/>
      </w:pPr>
      <w:rPr>
        <w:rFonts w:hint="default"/>
        <w:lang w:val="en-GB" w:eastAsia="en-US" w:bidi="ar-SA"/>
      </w:rPr>
    </w:lvl>
    <w:lvl w:ilvl="8">
      <w:numFmt w:val="bullet"/>
      <w:lvlText w:val="•"/>
      <w:lvlJc w:val="left"/>
      <w:pPr>
        <w:ind w:left="1474" w:hanging="1276"/>
      </w:pPr>
      <w:rPr>
        <w:rFonts w:hint="default"/>
        <w:lang w:val="en-GB" w:eastAsia="en-US" w:bidi="ar-SA"/>
      </w:rPr>
    </w:lvl>
  </w:abstractNum>
  <w:abstractNum w:abstractNumId="5" w15:restartNumberingAfterBreak="0">
    <w:nsid w:val="77A703CE"/>
    <w:multiLevelType w:val="hybridMultilevel"/>
    <w:tmpl w:val="26D63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186811">
    <w:abstractNumId w:val="3"/>
  </w:num>
  <w:num w:numId="2" w16cid:durableId="343558802">
    <w:abstractNumId w:val="5"/>
  </w:num>
  <w:num w:numId="3" w16cid:durableId="2052801740">
    <w:abstractNumId w:val="0"/>
  </w:num>
  <w:num w:numId="4" w16cid:durableId="316229633">
    <w:abstractNumId w:val="4"/>
  </w:num>
  <w:num w:numId="5" w16cid:durableId="280186821">
    <w:abstractNumId w:val="1"/>
    <w:lvlOverride w:ilvl="0">
      <w:lvl w:ilvl="0">
        <w:start w:val="1"/>
        <w:numFmt w:val="decimal"/>
        <w:lvlText w:val="%1. "/>
        <w:lvlJc w:val="left"/>
        <w:pPr>
          <w:tabs>
            <w:tab w:val="num" w:pos="1474"/>
          </w:tabs>
          <w:ind w:left="1474" w:hanging="1276"/>
        </w:pPr>
        <w:rPr>
          <w:rFonts w:ascii="Arial" w:eastAsia="Calibri" w:hAnsi="Arial" w:cs="Arial" w:hint="default"/>
          <w:b/>
          <w:bCs/>
          <w:i w:val="0"/>
          <w:iCs w:val="0"/>
          <w:w w:val="99"/>
          <w:sz w:val="32"/>
          <w:szCs w:val="32"/>
          <w:lang w:val="en-GB" w:eastAsia="en-US" w:bidi="ar-SA"/>
        </w:rPr>
      </w:lvl>
    </w:lvlOverride>
    <w:lvlOverride w:ilvl="1">
      <w:lvl w:ilvl="1">
        <w:start w:val="1"/>
        <w:numFmt w:val="decimal"/>
        <w:lvlText w:val="%1.%2. "/>
        <w:lvlJc w:val="left"/>
        <w:pPr>
          <w:ind w:left="1702" w:hanging="1276"/>
        </w:pPr>
        <w:rPr>
          <w:rFonts w:ascii="Arial" w:hAnsi="Arial" w:cs="Arial" w:hint="default"/>
          <w:lang w:bidi="ar-SA"/>
        </w:rPr>
      </w:lvl>
    </w:lvlOverride>
    <w:lvlOverride w:ilvl="2">
      <w:lvl w:ilvl="2">
        <w:start w:val="1"/>
        <w:numFmt w:val="decimal"/>
        <w:lvlText w:val="%1.%2.%3."/>
        <w:lvlJc w:val="left"/>
        <w:pPr>
          <w:ind w:left="1474" w:hanging="1276"/>
        </w:pPr>
        <w:rPr>
          <w:rFonts w:ascii="Arial" w:hAnsi="Arial" w:cs="Arial" w:hint="default"/>
          <w:b w:val="0"/>
          <w:bCs w:val="0"/>
          <w:i w:val="0"/>
          <w:iCs w:val="0"/>
          <w:w w:val="100"/>
          <w:sz w:val="22"/>
          <w:szCs w:val="24"/>
          <w:u w:val="none"/>
          <w:lang w:val="en-GB" w:eastAsia="en-US" w:bidi="ar-SA"/>
        </w:rPr>
      </w:lvl>
    </w:lvlOverride>
  </w:num>
  <w:num w:numId="6" w16cid:durableId="623343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5A"/>
    <w:rsid w:val="00003B95"/>
    <w:rsid w:val="000E23A2"/>
    <w:rsid w:val="00110262"/>
    <w:rsid w:val="00196F65"/>
    <w:rsid w:val="001A457C"/>
    <w:rsid w:val="001D5D96"/>
    <w:rsid w:val="001F71B8"/>
    <w:rsid w:val="002365BA"/>
    <w:rsid w:val="00264320"/>
    <w:rsid w:val="002660EE"/>
    <w:rsid w:val="002C3F6D"/>
    <w:rsid w:val="002C4DCC"/>
    <w:rsid w:val="00335DB0"/>
    <w:rsid w:val="00342B0C"/>
    <w:rsid w:val="003965B5"/>
    <w:rsid w:val="003E5B3D"/>
    <w:rsid w:val="004434B7"/>
    <w:rsid w:val="004B022D"/>
    <w:rsid w:val="004C38F9"/>
    <w:rsid w:val="004D131B"/>
    <w:rsid w:val="004F7149"/>
    <w:rsid w:val="0051201C"/>
    <w:rsid w:val="00550010"/>
    <w:rsid w:val="0056554C"/>
    <w:rsid w:val="0057043E"/>
    <w:rsid w:val="005C634C"/>
    <w:rsid w:val="00670767"/>
    <w:rsid w:val="00682456"/>
    <w:rsid w:val="00685495"/>
    <w:rsid w:val="006F087F"/>
    <w:rsid w:val="00703B82"/>
    <w:rsid w:val="00742E5D"/>
    <w:rsid w:val="007643A6"/>
    <w:rsid w:val="007B03CD"/>
    <w:rsid w:val="007E53BF"/>
    <w:rsid w:val="007F2AE9"/>
    <w:rsid w:val="0081555A"/>
    <w:rsid w:val="00831DAB"/>
    <w:rsid w:val="0085620A"/>
    <w:rsid w:val="00875C3B"/>
    <w:rsid w:val="00882B1A"/>
    <w:rsid w:val="00890EA5"/>
    <w:rsid w:val="008B6815"/>
    <w:rsid w:val="008D303D"/>
    <w:rsid w:val="008E4395"/>
    <w:rsid w:val="008F2134"/>
    <w:rsid w:val="00917AB0"/>
    <w:rsid w:val="009438E5"/>
    <w:rsid w:val="00951F2A"/>
    <w:rsid w:val="00957273"/>
    <w:rsid w:val="00A56098"/>
    <w:rsid w:val="00AA11E6"/>
    <w:rsid w:val="00AC2D12"/>
    <w:rsid w:val="00AF035E"/>
    <w:rsid w:val="00B124CA"/>
    <w:rsid w:val="00BB1553"/>
    <w:rsid w:val="00BE00B0"/>
    <w:rsid w:val="00C332C0"/>
    <w:rsid w:val="00C47C6F"/>
    <w:rsid w:val="00CE5A84"/>
    <w:rsid w:val="00CF34BB"/>
    <w:rsid w:val="00CF5037"/>
    <w:rsid w:val="00E2353B"/>
    <w:rsid w:val="00E34C48"/>
    <w:rsid w:val="00E63AFB"/>
    <w:rsid w:val="00EB2829"/>
    <w:rsid w:val="00F56E76"/>
    <w:rsid w:val="00FA0311"/>
    <w:rsid w:val="00FA28E6"/>
    <w:rsid w:val="00FF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CD5D9"/>
  <w15:docId w15:val="{65626EF2-6D5F-4C0E-AB7C-085C1B62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2C0"/>
    <w:pPr>
      <w:keepNext/>
      <w:keepLines/>
      <w:tabs>
        <w:tab w:val="num" w:pos="1134"/>
      </w:tabs>
      <w:spacing w:before="240" w:after="0" w:line="240" w:lineRule="auto"/>
      <w:ind w:left="1134" w:hanging="850"/>
      <w:jc w:val="both"/>
      <w:outlineLvl w:val="0"/>
    </w:pPr>
    <w:rPr>
      <w:rFonts w:ascii="Arial" w:eastAsiaTheme="majorEastAsia" w:hAnsi="Arial" w:cs="Arial"/>
      <w:color w:val="4472C4" w:themeColor="accent1"/>
      <w:kern w:val="0"/>
      <w:sz w:val="32"/>
      <w:szCs w:val="32"/>
      <w:lang w:val="en-US"/>
    </w:rPr>
  </w:style>
  <w:style w:type="paragraph" w:styleId="Heading2">
    <w:name w:val="heading 2"/>
    <w:basedOn w:val="Normal"/>
    <w:next w:val="Normal"/>
    <w:link w:val="Heading2Char"/>
    <w:uiPriority w:val="9"/>
    <w:unhideWhenUsed/>
    <w:qFormat/>
    <w:rsid w:val="00C332C0"/>
    <w:pPr>
      <w:keepNext/>
      <w:keepLines/>
      <w:tabs>
        <w:tab w:val="num" w:pos="1134"/>
      </w:tabs>
      <w:spacing w:before="240" w:after="240" w:line="240" w:lineRule="auto"/>
      <w:ind w:left="1134" w:hanging="850"/>
      <w:jc w:val="both"/>
      <w:outlineLvl w:val="1"/>
    </w:pPr>
    <w:rPr>
      <w:rFonts w:ascii="Arial" w:eastAsiaTheme="majorEastAsia" w:hAnsi="Arial" w:cs="Arial"/>
      <w:color w:val="4472C4" w:themeColor="accent1"/>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55A"/>
  </w:style>
  <w:style w:type="paragraph" w:styleId="Footer">
    <w:name w:val="footer"/>
    <w:basedOn w:val="Normal"/>
    <w:link w:val="FooterChar"/>
    <w:uiPriority w:val="99"/>
    <w:unhideWhenUsed/>
    <w:rsid w:val="0081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55A"/>
  </w:style>
  <w:style w:type="paragraph" w:styleId="Title">
    <w:name w:val="Title"/>
    <w:basedOn w:val="Normal"/>
    <w:next w:val="Normal"/>
    <w:link w:val="TitleChar"/>
    <w:uiPriority w:val="10"/>
    <w:qFormat/>
    <w:rsid w:val="00815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55A"/>
    <w:rPr>
      <w:rFonts w:asciiTheme="majorHAnsi" w:eastAsiaTheme="majorEastAsia" w:hAnsiTheme="majorHAnsi" w:cstheme="majorBidi"/>
      <w:spacing w:val="-10"/>
      <w:kern w:val="28"/>
      <w:sz w:val="56"/>
      <w:szCs w:val="56"/>
    </w:rPr>
  </w:style>
  <w:style w:type="paragraph" w:styleId="ListParagraph">
    <w:name w:val="List Paragraph"/>
    <w:aliases w:val="Level 2 body text"/>
    <w:basedOn w:val="Normal"/>
    <w:uiPriority w:val="34"/>
    <w:qFormat/>
    <w:rsid w:val="0081555A"/>
    <w:pPr>
      <w:ind w:left="720"/>
      <w:contextualSpacing/>
    </w:pPr>
  </w:style>
  <w:style w:type="table" w:styleId="TableGrid">
    <w:name w:val="Table Grid"/>
    <w:basedOn w:val="TableNormal"/>
    <w:uiPriority w:val="39"/>
    <w:rsid w:val="0094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32C0"/>
    <w:rPr>
      <w:rFonts w:ascii="Arial" w:eastAsiaTheme="majorEastAsia" w:hAnsi="Arial" w:cs="Arial"/>
      <w:color w:val="4472C4" w:themeColor="accent1"/>
      <w:kern w:val="0"/>
      <w:sz w:val="32"/>
      <w:szCs w:val="32"/>
      <w:lang w:val="en-US"/>
    </w:rPr>
  </w:style>
  <w:style w:type="character" w:customStyle="1" w:styleId="Heading2Char">
    <w:name w:val="Heading 2 Char"/>
    <w:basedOn w:val="DefaultParagraphFont"/>
    <w:link w:val="Heading2"/>
    <w:uiPriority w:val="9"/>
    <w:rsid w:val="00C332C0"/>
    <w:rPr>
      <w:rFonts w:ascii="Arial" w:eastAsiaTheme="majorEastAsia" w:hAnsi="Arial" w:cs="Arial"/>
      <w:color w:val="4472C4" w:themeColor="accent1"/>
      <w:kern w:val="0"/>
      <w:sz w:val="24"/>
      <w:szCs w:val="24"/>
      <w:lang w:val="en-US"/>
    </w:rPr>
  </w:style>
  <w:style w:type="numbering" w:customStyle="1" w:styleId="Numbering-Reports">
    <w:name w:val="Numbering - Reports"/>
    <w:uiPriority w:val="99"/>
    <w:rsid w:val="00C332C0"/>
    <w:pPr>
      <w:numPr>
        <w:numId w:val="4"/>
      </w:numPr>
    </w:pPr>
  </w:style>
  <w:style w:type="paragraph" w:customStyle="1" w:styleId="BulletList">
    <w:name w:val="Bullet List"/>
    <w:basedOn w:val="ListBullet"/>
    <w:link w:val="BulletListChar"/>
    <w:qFormat/>
    <w:rsid w:val="00C332C0"/>
    <w:pPr>
      <w:numPr>
        <w:numId w:val="0"/>
      </w:numPr>
      <w:spacing w:after="120" w:line="264" w:lineRule="auto"/>
      <w:ind w:left="1985" w:right="36" w:hanging="284"/>
      <w:jc w:val="both"/>
    </w:pPr>
    <w:rPr>
      <w:rFonts w:ascii="Arial" w:eastAsiaTheme="minorEastAsia" w:hAnsi="Arial" w:cs="Arial"/>
      <w:kern w:val="0"/>
      <w:szCs w:val="20"/>
      <w:lang w:val="en-US"/>
    </w:rPr>
  </w:style>
  <w:style w:type="character" w:customStyle="1" w:styleId="BulletListChar">
    <w:name w:val="Bullet List Char"/>
    <w:basedOn w:val="DefaultParagraphFont"/>
    <w:link w:val="BulletList"/>
    <w:rsid w:val="00C332C0"/>
    <w:rPr>
      <w:rFonts w:ascii="Arial" w:eastAsiaTheme="minorEastAsia" w:hAnsi="Arial" w:cs="Arial"/>
      <w:kern w:val="0"/>
      <w:szCs w:val="20"/>
      <w:lang w:val="en-US"/>
    </w:rPr>
  </w:style>
  <w:style w:type="paragraph" w:styleId="ListBullet">
    <w:name w:val="List Bullet"/>
    <w:basedOn w:val="Normal"/>
    <w:uiPriority w:val="99"/>
    <w:semiHidden/>
    <w:unhideWhenUsed/>
    <w:rsid w:val="00C332C0"/>
    <w:pPr>
      <w:numPr>
        <w:numId w:val="4"/>
      </w:numPr>
      <w:contextualSpacing/>
    </w:pPr>
  </w:style>
  <w:style w:type="character" w:styleId="Hyperlink">
    <w:name w:val="Hyperlink"/>
    <w:basedOn w:val="DefaultParagraphFont"/>
    <w:uiPriority w:val="99"/>
    <w:unhideWhenUsed/>
    <w:rsid w:val="006F087F"/>
    <w:rPr>
      <w:color w:val="0563C1" w:themeColor="hyperlink"/>
      <w:u w:val="single"/>
    </w:rPr>
  </w:style>
  <w:style w:type="character" w:styleId="UnresolvedMention">
    <w:name w:val="Unresolved Mention"/>
    <w:basedOn w:val="DefaultParagraphFont"/>
    <w:uiPriority w:val="99"/>
    <w:semiHidden/>
    <w:unhideWhenUsed/>
    <w:rsid w:val="006F0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ta.jncc.gov.uk/data/ca179c55-3e9d-4e95-abd9-4edb2347c3b6/UKBAP-BAPHabitats-17-Hedgerow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Duguid</dc:creator>
  <cp:keywords/>
  <dc:description/>
  <cp:lastModifiedBy>Emily Duguid</cp:lastModifiedBy>
  <cp:revision>28</cp:revision>
  <dcterms:created xsi:type="dcterms:W3CDTF">2023-12-07T14:23:00Z</dcterms:created>
  <dcterms:modified xsi:type="dcterms:W3CDTF">2023-12-07T14:44:00Z</dcterms:modified>
</cp:coreProperties>
</file>